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F968B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5F968B7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5F968BB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5F968B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5F968B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5F968B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5F968C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5F968BD" w14:textId="032E46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5F968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5F968BF" w14:textId="364FC3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“Latvijas Bērnu atbalsta fonds”</w:t>
            </w:r>
          </w:p>
        </w:tc>
      </w:tr>
      <w:tr w14:paraId="05F968C4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5F968C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F968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5F968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5F968C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5F968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F968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F968C7" w14:textId="5BF631F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Nr.40008020151</w:t>
            </w:r>
          </w:p>
        </w:tc>
      </w:tr>
      <w:tr w14:paraId="05F968C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5F968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F968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5F968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5F968D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5F968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F968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F968CF" w14:textId="76C717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gatve 401B, Rīga, LV-1024</w:t>
            </w:r>
          </w:p>
        </w:tc>
      </w:tr>
      <w:tr w14:paraId="05F968D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5F968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F968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5F968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5F968D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5F968D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/236</w:t>
      </w:r>
    </w:p>
    <w:p w:rsidR="00C959F6" w:rsidP="00070E23" w14:paraId="05F968D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5F968D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5F968DB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840FD" w14:paraId="05F968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840FD" w14:paraId="05F968DA" w14:textId="5FD56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sociālās rehabilitācijas un izziņas centra lauku vidē “Dvēseles veldzes dārzs”  visas ēkas un teritorija (turpmāk - Objekts).</w:t>
            </w:r>
          </w:p>
        </w:tc>
      </w:tr>
      <w:tr w14:paraId="05F968D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5F968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5F968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F968E1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F968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840FD" w14:paraId="05F968E0" w14:textId="0FF53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Laivenieki</w:t>
            </w:r>
            <w:r>
              <w:rPr>
                <w:rFonts w:ascii="Times New Roman" w:hAnsi="Times New Roman" w:cs="Times New Roman"/>
                <w:sz w:val="24"/>
              </w:rPr>
              <w:t>”, Ziemupe, Vērgales pagasts, Dienvidkurzemes novads, LV-3462.</w:t>
            </w:r>
          </w:p>
        </w:tc>
      </w:tr>
      <w:tr w14:paraId="05F968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5F968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5F968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F968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F968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5F968E6" w14:textId="3AC48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“Dvēseles Veldzes Dārzs”,</w:t>
            </w:r>
          </w:p>
        </w:tc>
      </w:tr>
      <w:tr w14:paraId="05F968E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5F968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5F968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5F968E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5F968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840FD" w14:paraId="05F968EC" w14:textId="24DE5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Nr.42103058088,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Laivenieki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Ziemupe, Vērgales pagasts, Dienvidkurzemes novads, LV-3463.</w:t>
            </w:r>
          </w:p>
        </w:tc>
      </w:tr>
      <w:tr w14:paraId="05F968F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5F968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5F968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5F968F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F968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840FD" w14:paraId="05F968F2" w14:textId="253EA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vadītājas Zaigas Melderes 2023.gada 12.oktobra iesniegums, kas Valsts ugunsdzēsības un glābšanas dienesta Kurzemes reģiona pārvaldē reģistrēts ar Nr.22/12-1.4/735.</w:t>
            </w:r>
          </w:p>
        </w:tc>
      </w:tr>
      <w:tr w14:paraId="05F968F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5F968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5F968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F968F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F968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840FD" w14:paraId="05F968F8" w14:textId="359F02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 ēkas aprīkotas ar autonomiem dūmu detektoriem un nodrošinātas ar pārnēsājamiem ugunsdzēsības aparātiem.</w:t>
            </w:r>
            <w:r w:rsidR="000500D7">
              <w:rPr>
                <w:rFonts w:ascii="Times New Roman" w:hAnsi="Times New Roman" w:cs="Times New Roman"/>
                <w:sz w:val="24"/>
                <w:szCs w:val="24"/>
              </w:rPr>
              <w:t xml:space="preserve"> Lielajā viesu mājā uzstādīta automātiskā ugunsgrēka atklāšanas un trauksmes signalizācijas sistēma.</w:t>
            </w:r>
          </w:p>
        </w:tc>
      </w:tr>
      <w:tr w14:paraId="05F968F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5F968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5F968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F968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F968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5F968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682B11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59BE99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000337DC" w14:textId="1C770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/>
                <w:sz w:val="24"/>
                <w:szCs w:val="24"/>
              </w:rPr>
              <w:t>Objekta visās ēkās (izņemot “Sanitārais mezgls”, “Pagrabs”, “Laiks mieram”, “Lapene”, “Darbnīca”)</w:t>
            </w:r>
            <w:r w:rsidRPr="00DE11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nav veikta</w:t>
            </w:r>
            <w:r w:rsidRPr="00DE11ED">
              <w:rPr>
                <w:rFonts w:ascii="Times New Roman" w:hAnsi="Times New Roman"/>
                <w:sz w:val="24"/>
                <w:szCs w:val="24"/>
              </w:rPr>
              <w:t xml:space="preserve"> elektroinstalācijas (tai skaitā zemējuma un </w:t>
            </w:r>
            <w:r w:rsidRPr="00DE11ED">
              <w:rPr>
                <w:rFonts w:ascii="Times New Roman" w:hAnsi="Times New Roman"/>
                <w:sz w:val="24"/>
                <w:szCs w:val="24"/>
              </w:rPr>
              <w:t>zibensaizsardzības</w:t>
            </w:r>
            <w:r w:rsidRPr="00DE11ED">
              <w:rPr>
                <w:rFonts w:ascii="Times New Roman" w:hAnsi="Times New Roman"/>
                <w:sz w:val="24"/>
                <w:szCs w:val="24"/>
              </w:rPr>
              <w:t xml:space="preserve"> ierīces) pārbaude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B4845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19.aprīļa noteikumu Nr.238 “Ugunsdrošības noteikumi”(turpmā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– Ugunsdrošības noteikumi) 56</w:t>
            </w:r>
            <w:r w:rsidRPr="00EB4845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</w:tc>
      </w:tr>
      <w:tr w14:paraId="6D3477B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5321D5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540F6221" w14:textId="1E4E8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Objekta visās ēkās nav veikta elektroinstalācijas kontaktu savienojumu kvalitātes pārbaude ar termokameru,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58.punkts.</w:t>
            </w:r>
          </w:p>
        </w:tc>
      </w:tr>
      <w:tr w14:paraId="745A6CE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0326BD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00310A07" w14:textId="4683D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Objektā 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>nav veikta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visu cieto kurināmo apkures iekārtu un dūmvadu tīrīšana,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67.punkts.</w:t>
            </w:r>
          </w:p>
        </w:tc>
      </w:tr>
      <w:tr w14:paraId="6FFB504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1B1367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5267B799" w14:textId="4B1FD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>
              <w:rPr>
                <w:rFonts w:ascii="Times New Roman" w:hAnsi="Times New Roman"/>
                <w:sz w:val="24"/>
                <w:szCs w:val="24"/>
              </w:rPr>
              <w:t>Objektā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 xml:space="preserve">  nav veikta </w:t>
            </w:r>
            <w:r>
              <w:rPr>
                <w:rFonts w:ascii="Times New Roman" w:hAnsi="Times New Roman"/>
                <w:sz w:val="24"/>
                <w:szCs w:val="24"/>
              </w:rPr>
              <w:t>visu cieto kurināmo apkures iekārtu un dūmvadu (izņemot saimniecības ēkas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cietā kurināmā apkures katla oderētā </w:t>
            </w:r>
            <w:r>
              <w:rPr>
                <w:rFonts w:ascii="Times New Roman" w:hAnsi="Times New Roman"/>
                <w:sz w:val="24"/>
                <w:szCs w:val="24"/>
              </w:rPr>
              <w:t>dūmkanāla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Nr.1) 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>tehniskā stāvokļa pārbaude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 retāk kā reizi piecos gados,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74.punkts.</w:t>
            </w:r>
          </w:p>
        </w:tc>
      </w:tr>
      <w:tr w14:paraId="2E671ED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3A0568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7C99ABF7" w14:textId="1FAE8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1E0352">
              <w:rPr>
                <w:rFonts w:ascii="Times New Roman" w:hAnsi="Times New Roman"/>
                <w:color w:val="000000"/>
                <w:sz w:val="24"/>
                <w:szCs w:val="24"/>
              </w:rPr>
              <w:t>Objekt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viesu mājā </w:t>
            </w:r>
            <w:r w:rsidRPr="001E0352">
              <w:rPr>
                <w:rFonts w:ascii="Times New Roman" w:hAnsi="Times New Roman"/>
                <w:color w:val="000000"/>
                <w:sz w:val="24"/>
                <w:szCs w:val="24"/>
              </w:rPr>
              <w:t>nav veikta dabiskās ventilācijas kanālu tīrīšana un tehniskā stāvokļa pārbaude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 retāk kā reizi piecos gados,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80.punkts.</w:t>
            </w:r>
          </w:p>
        </w:tc>
      </w:tr>
      <w:tr w14:paraId="11DA86D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4B9889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35CCEE30" w14:textId="04A7C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Objekta viesu mājā automātiskā ugunsgrēka atklāšanas un trauksmes signalizācijas sistēma (turpmāk – AUATSS) nav nepārtraukti ieslēgta automātiskajā darba režīmā, bet tieši, AUATSS ir atslēgta,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124.punkts.</w:t>
            </w:r>
          </w:p>
        </w:tc>
      </w:tr>
      <w:tr w14:paraId="6807417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144A0B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77B4A412" w14:textId="33303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Objektā pie AUATSS paneļa netiek uzglabāta AUATSS instrukcija, kurā norādīta Ugunsdrošības noteikumu 127.punktā, 180.4. un 180.7.apakšpunktā minētā informācija,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125.1.apakšpunkts.</w:t>
            </w:r>
          </w:p>
        </w:tc>
      </w:tr>
      <w:tr w14:paraId="739686C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6E46F4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33162502" w14:textId="5B04B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6.8. </w:t>
            </w:r>
            <w:r>
              <w:rPr>
                <w:rFonts w:ascii="Times New Roman" w:hAnsi="Times New Roman"/>
                <w:sz w:val="24"/>
                <w:szCs w:val="24"/>
              </w:rPr>
              <w:t>Objektā</w:t>
            </w:r>
            <w:r w:rsidRPr="0007421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pie AUATSS </w:t>
            </w:r>
            <w:r w:rsidRPr="00074218">
              <w:rPr>
                <w:rFonts w:ascii="Times New Roman" w:hAnsi="Times New Roman"/>
                <w:sz w:val="24"/>
                <w:szCs w:val="24"/>
              </w:rPr>
              <w:t>paneļa netiek uzglabāts AUATSS aizsargājamo telpu (zonu) saraksts vai grafiskais aizs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argājamo zonu attēlojums telpās,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125.2.apakšpunkts.</w:t>
            </w:r>
          </w:p>
        </w:tc>
      </w:tr>
      <w:tr w14:paraId="2BA644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2A0237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320602CD" w14:textId="5FE8D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6.9.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netiek uzglabāts AUATSS iedarbošanās gadījumu un bojājumu uzskaites žurnāls,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125.3.apakšpunkts.</w:t>
            </w:r>
          </w:p>
        </w:tc>
      </w:tr>
      <w:tr w14:paraId="00F7AF5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59E402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1B35FB55" w14:textId="02A19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6.10.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Objekta atbildīgā persona nav nodrošinājusi AUATSS tehnisko apkopi un tehniskās apkopes kontroli,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129.punkts.</w:t>
            </w:r>
          </w:p>
        </w:tc>
      </w:tr>
      <w:tr w14:paraId="7D29AE0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1D09EE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21094F08" w14:textId="0B835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Objekta atbildīgā persona nav nodrošinājusi ugunsdrošības instrukcijas izstrādi objektam,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176.punkts.</w:t>
            </w:r>
          </w:p>
        </w:tc>
      </w:tr>
      <w:tr w14:paraId="202520A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226D5B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5849BEAF" w14:textId="48E02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6.12.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Objekta atbildīgā persona nav nodrošinājusi ugunsdrošības instruktāžu visiem nodarbinātajiem,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184.punkts.</w:t>
            </w:r>
          </w:p>
        </w:tc>
      </w:tr>
      <w:tr w14:paraId="2FEBFEF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23D575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4F19E827" w14:textId="5AE6B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Objekta atbildīgā persona nav organizējusi praktiskās nodarbības saskaņā ar ugunsdrošības instrukcijas sadaļu “Rīcība ugunsgrēka gadījumā” ne retāk kā reizi gadā,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192.punkts.</w:t>
            </w:r>
          </w:p>
        </w:tc>
      </w:tr>
      <w:tr w14:paraId="1BBB338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10B323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436BDAF1" w14:textId="60F7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Objekta viesu mājā visas izgaismotās ugunsdrošības zīmes neatbilst Ugunsdrošības noteikumu prasībām, bet tieši, zaļais fons neaizņem vismaz 50% no zīmes virsmas platības,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195.punkts.</w:t>
            </w:r>
          </w:p>
        </w:tc>
      </w:tr>
      <w:tr w14:paraId="2E3D889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251C8A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53097E42" w14:textId="087ED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Objekta atbildīgā persona nav nodrošinājusi visu ugunsdzēsības aparātu tehniskā stāvokļa apskati un tehnisko apkopi,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267.punkts.</w:t>
            </w:r>
          </w:p>
        </w:tc>
      </w:tr>
      <w:tr w14:paraId="2F65765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3BD58D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0A9FCC18" w14:textId="0477D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Objekta atbildīgā persona </w:t>
            </w:r>
            <w:r w:rsidRPr="00C13B10">
              <w:rPr>
                <w:rFonts w:ascii="Times New Roman" w:hAnsi="Times New Roman"/>
                <w:sz w:val="24"/>
                <w:szCs w:val="24"/>
              </w:rPr>
              <w:t>nav nodrošinājusi visiem ugunsdzēsības aprātiem tehniskā stāvokļ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vizuālo apskati (novērtējumu),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268.punkts.</w:t>
            </w:r>
          </w:p>
        </w:tc>
      </w:tr>
      <w:tr w14:paraId="77DF1F8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P="00E840FD" w14:paraId="0BC86B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22DF9EE3" w14:textId="0575A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6.17.Objekta organizētajam pasākumam (nometnei) nav izstrādāta individuāla ugunsdrošības instrukcija, kā rezultātā ir pārkāpts Ugunsdrošības noteikumu 324.punkts.</w:t>
            </w:r>
          </w:p>
        </w:tc>
      </w:tr>
      <w:tr w14:paraId="05F969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840FD" w:rsidRPr="00070E23" w:rsidP="00E840FD" w14:paraId="05F969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840FD" w:rsidRPr="00070E23" w:rsidP="00E840FD" w14:paraId="05F969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F9690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RPr="00E227D8" w:rsidP="00E840FD" w14:paraId="05F969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0500D7" w14:paraId="05F96904" w14:textId="4F099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n</w:t>
            </w:r>
            <w:r w:rsidR="000500D7">
              <w:rPr>
                <w:rFonts w:ascii="Times New Roman" w:hAnsi="Times New Roman" w:cs="Times New Roman"/>
                <w:b/>
                <w:sz w:val="24"/>
              </w:rPr>
              <w:t>eatbilst ugunsdrošības prasībām.</w:t>
            </w:r>
            <w:bookmarkStart w:id="0" w:name="_GoBack"/>
            <w:bookmarkEnd w:id="0"/>
          </w:p>
        </w:tc>
      </w:tr>
      <w:tr w14:paraId="05F9690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840FD" w:rsidRPr="00070E23" w:rsidP="00E840FD" w14:paraId="05F969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840FD" w:rsidRPr="00070E23" w:rsidP="00E840FD" w14:paraId="05F969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F9690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RPr="00E227D8" w:rsidP="00E840FD" w14:paraId="05F969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05F9690A" w14:textId="7610A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41510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“Bērnu nometņu organizēšanas un darbības kārtība” 8.5.apakšpunkta prasībām.</w:t>
            </w:r>
          </w:p>
        </w:tc>
      </w:tr>
      <w:tr w14:paraId="05F969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840FD" w:rsidRPr="00070E23" w:rsidP="00E840FD" w14:paraId="05F969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840FD" w:rsidRPr="00070E23" w:rsidP="00E840FD" w14:paraId="05F969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5F9691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40FD" w:rsidRPr="00E227D8" w:rsidP="00E840FD" w14:paraId="05F969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40FD" w:rsidRPr="00E227D8" w:rsidP="00E840FD" w14:paraId="05F96910" w14:textId="41F736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41510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05F96914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840FD" w:rsidRPr="00070E23" w:rsidP="00E840FD" w14:paraId="05F969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840FD" w:rsidRPr="00070E23" w:rsidP="00E840FD" w14:paraId="05F9691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5F9691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5F9691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0500D7" w14:paraId="77077F86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45E2" w:rsidRPr="007D2C05" w:rsidP="003E7B32" w14:paraId="05F96917" w14:textId="11FECC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F9691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5F969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5F9691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5F9691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5F9691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5F9692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840FD" w:rsidRPr="007D2C05" w:rsidP="00E840FD" w14:paraId="05F9691D" w14:textId="2BE09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E840FD" w:rsidRPr="007D2C05" w:rsidP="00E840FD" w14:paraId="05F969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840FD" w:rsidRPr="007D2C05" w:rsidP="00E840FD" w14:paraId="05F9691F" w14:textId="25527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E840FD" w:rsidRPr="007D2C05" w:rsidP="00E840FD" w14:paraId="05F969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840FD" w:rsidRPr="007D2C05" w:rsidP="00E840FD" w14:paraId="05F96921" w14:textId="688B5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05F9692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840FD" w:rsidRPr="00B245E2" w:rsidP="00E840FD" w14:paraId="05F969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840FD" w:rsidRPr="00B245E2" w:rsidP="00E840FD" w14:paraId="05F969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840FD" w:rsidRPr="00B245E2" w:rsidP="00E840FD" w14:paraId="05F969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840FD" w:rsidRPr="00B245E2" w:rsidP="00E840FD" w14:paraId="05F969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840FD" w:rsidRPr="00B245E2" w:rsidP="00E840FD" w14:paraId="05F969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5F9692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5F9692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5F9692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E840FD" w14:paraId="05F9692B" w14:textId="40C45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</w:t>
            </w:r>
          </w:p>
        </w:tc>
        <w:tc>
          <w:tcPr>
            <w:tcW w:w="284" w:type="dxa"/>
            <w:vAlign w:val="bottom"/>
          </w:tcPr>
          <w:p w:rsidR="007D2C05" w:rsidP="007D2C05" w14:paraId="05F969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5F969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F9693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5F969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5F969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5F969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5F9693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5F9693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5F9693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5F9693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5F96937" w14:textId="444C55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5F969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5F9693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F9693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F9694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5F9693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28353636"/>
      <w:docPartObj>
        <w:docPartGallery w:val="Page Numbers (Top of Page)"/>
        <w:docPartUnique/>
      </w:docPartObj>
    </w:sdtPr>
    <w:sdtContent>
      <w:p w:rsidR="00E227D8" w:rsidRPr="00762AE8" w14:paraId="05F9693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00D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5F9693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F9694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00D7"/>
    <w:rsid w:val="00070E23"/>
    <w:rsid w:val="00074218"/>
    <w:rsid w:val="0015650A"/>
    <w:rsid w:val="001E0352"/>
    <w:rsid w:val="00281811"/>
    <w:rsid w:val="002A02AD"/>
    <w:rsid w:val="003259CA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86762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1510"/>
    <w:rsid w:val="00B42A8D"/>
    <w:rsid w:val="00B44158"/>
    <w:rsid w:val="00B449B7"/>
    <w:rsid w:val="00B5539A"/>
    <w:rsid w:val="00B60EAD"/>
    <w:rsid w:val="00B97A08"/>
    <w:rsid w:val="00BB5A54"/>
    <w:rsid w:val="00BF7B87"/>
    <w:rsid w:val="00C13B10"/>
    <w:rsid w:val="00C33E3A"/>
    <w:rsid w:val="00C51BBF"/>
    <w:rsid w:val="00C522E2"/>
    <w:rsid w:val="00C946FD"/>
    <w:rsid w:val="00C959F6"/>
    <w:rsid w:val="00D639C2"/>
    <w:rsid w:val="00DB3B2E"/>
    <w:rsid w:val="00DD6EF6"/>
    <w:rsid w:val="00DE11ED"/>
    <w:rsid w:val="00E0387C"/>
    <w:rsid w:val="00E227D8"/>
    <w:rsid w:val="00E60393"/>
    <w:rsid w:val="00E840FD"/>
    <w:rsid w:val="00EB4845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F968B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10</cp:revision>
  <dcterms:created xsi:type="dcterms:W3CDTF">2022-12-16T07:36:00Z</dcterms:created>
  <dcterms:modified xsi:type="dcterms:W3CDTF">2023-10-20T10:41:00Z</dcterms:modified>
</cp:coreProperties>
</file>